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비영리사업계획서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해결할필요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자원계획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내부 기획 초안이며 지원금 선정·기부금 모집 권한·세제 혜택을 보장하지 않습니다. 기관에 제출할 때는 실제 공고와 지정 양식을 우선하고 수혜자의 개인정보는 필요한 범위와 절차를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비영리사업계획서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