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협회 예산안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대상연도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2027년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사업명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회원 교육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예상수입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회비 배분 계획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예상지출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강사·자료비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산출근거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견적 확인 예정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승인상태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심의 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</w:tbl>
    <w:p>
      <w:r>
        <w:t>예산안 작성만으로 지출 권한이나 회원 의결이 완료된 것은 아닙니다.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협회 예산안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