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협회 예산안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대상연도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사업명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예상수입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예상지출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산출근거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승인상태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검토일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예산안 작성만으로 지출 권한이나 회원 의결이 완료된 것은 아닙니다.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협회 예산안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