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대출상환 관리표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대출별칭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납부기일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기관고지액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실제납부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기관표시잔액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확인근거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개인 기록용이며 이자·상환액·연체·완제 여부를 계산하거나 금융상품을 추천하지 않습니다. 약정과 금융기관의 실제 고지·거래내역이 우선이며, 납부액 전부를 원금 상환으로 간주하지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대출상환 관리표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