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자동이체 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항목명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청구주기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결제표시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최근확인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변경경로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공과금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월간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매월 25일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생활비 계좌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이용 중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해당 기관 공식 안내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예정 금액과 실제 출금액은 다를 수 있습니다. 해지나 계좌 변경 후 정상 반영됐는지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자동이체 관리대장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