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자동이체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항목명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최근확인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변경경로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예정 금액과 실제 출금액은 다를 수 있습니다. 해지나 계좌 변경 후 정상 반영됐는지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자동이체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