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간병비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미확인차이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1~7일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생활지원 비용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DEMO-CAREPAY01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청구 항목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정산서는 근로관계·임금·계약상 지급 의무나 보험 보장 범위를 결정하지 않습니다. 이견이 있는 청구는 별도 확인 대상으로 두고 계약·기관 안내와 실제 증빙을 따로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간병비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