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간병비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미확인차이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정산서는 근로관계·임금·계약상 지급 의무나 보험 보장 범위를 결정하지 않습니다. 이견이 있는 청구는 별도 확인 대상으로 두고 계약·기관 안내와 실제 증빙을 따로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간병비 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