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공익사업 결산서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확인재원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예산비용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실제사용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남은정산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내부 결산 기록이며 기관의 정산 승인이나 기부금 처리 적정성 보증이 아닙니다. 잔액 반환·이월과 재원별 집행 기준은 해당 기관 또는 단체의 실제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공익사업 결산서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