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가족공동비용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공동용도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총지출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선지급별칭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분담기준메모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정산서는 가족 간 법적 비용 분담 의무나 증여·세무 처리를 확정하지 않습니다. 서로 확인하지 않은 금액은 지급 의무로 표시하지 말고 계좌번호 등 불필요한 정보를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가족공동비용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