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교육훈련계획서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기록관리 기초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신규 운영담당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 기준 이해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사례 실습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과제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교육담당</w:t>
            </w:r>
          </w:p>
        </w:tc>
      </w:tr>
    </w:tbl>
    <w:p>
      <w:r>
        <w:t>법정 교육의 인정 시간·강사 요건을 일반 교육계획만으로 충족했다고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교육훈련계획서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