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재고실사표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실사일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창고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장부수량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실사수량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48개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2개 부족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미반영 출고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실사자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실사인</w:t>
            </w:r>
          </w:p>
        </w:tc>
      </w:tr>
    </w:tbl>
    <w:p>
      <w:r>
        <w:t>차이가 발견됐다고 즉시 손실을 확정하지 말고 미반영 입출고와 단위 착오를 먼저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재고실사표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