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재고실사표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실사일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보관위치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품목코드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장부수량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실사수량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차이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실사자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차이가 발견됐다고 즉시 손실을 확정하지 말고 미반영 입출고와 단위 착오를 먼저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재고실사표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