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재고차이 소명서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품목식별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장부수량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실사수량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조치요청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차이 발생만으로 분실이나 담당자 책임을 확정하지 않습니다. 원자료를 보존하고 장부 수정은 회사의 승인 절차에 따라 별도 근거를 남긴 뒤 진행하세요.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재고차이 소명서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