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문서파기 승인서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서식은 문서를 파기해도 된다는 법률 판단이 아닙니다. 적용 보존 의무와 자료 보류 사유를 담당자가 확인한 뒤 승인하며 실제 파기 방법과 결과는 별도로 기록하세요.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문서파기 승인서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