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감사결과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보고서는 법정 감사 의견이나 전문 감사인의 보증이 아닙니다. 사실과 추정을 나누고 징계·책임 판단은 관련 절차에 따라 별도로 검토하며 자료 접근을 제한하세요.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감사결과 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