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하자접수대장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처리상태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DEMO-DEFECT01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A실 창틀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마감재 들뜸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DEMO-DPIC01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방문 일정 회신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하자 접수는 하자 인정·보증 기간·보수 책임을 확정하지 않습니다. 위험이 우려되는 현상은 담당자에게 우선 전달하고 전문 점검 결과나 법적 판단은 별도 자료로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하자접수대장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