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하자접수대장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하자 접수는 하자 인정·보증 기간·보수 책임을 확정하지 않습니다. 위험이 우려되는 현상은 담당자에게 우선 전달하고 전문 점검 결과나 법적 판단은 별도 자료로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하자접수대장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