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사업장 임차비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사업장후보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사무실 후보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보증금가정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3000000원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월임차비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 300000원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관리비가정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 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초기현금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3350000원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이전비·추가 시설비 별도</w:t>
            </w:r>
          </w:p>
        </w:tc>
      </w:tr>
    </w:tbl>
    <w:p>
      <w:r>
        <w:t>계획서는 임대차계약이나 보증금 회수 가능성을 보장하지 않습니다. 실제 계약·권리관계·비용 조건을 별도로 검토하고 제안받은 금액을 확정 지출로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사업장 임차비 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