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손익계획서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계획기간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매출가정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변동비가정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고정비가정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계획차액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계획 차액은 확정 이익이나 투자 수익률이 아닙니다. 세금·회계 처리와 자산 비용 반영 등은 별도 검토가 필요하며 예측치를 외부에 실제 실적으로 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손익계획서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