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사업경비 청구서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청구번호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DEMO-EC01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운영담당 A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사용목적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교육행사 명찰재료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선지출액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42000원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요청환급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42000원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증빙연결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DEMO-EC01 영수증</w:t>
            </w:r>
          </w:p>
        </w:tc>
      </w:tr>
    </w:tbl>
    <w:p>
      <w:r>
        <w:t>청구서는 환급 승인이나 세무상 비용 인정을 보장하지 않습니다. 회사 경비 기준과 증빙 요건을 확인하고 카드번호·계좌 인증정보는 청구서에 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사업경비 청구서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