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미수금 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거래처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확인입금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미수잔액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다음확인일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대장은 채무 확정이나 이자·연체료 부과의 근거를 대신하지 않습니다. 상대방과 금액이 다르면 확인 중으로 표시하고 사실관계와 원 거래 자료를 먼저 대조하세요.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미수금 관리대장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