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매입장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매입일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공급처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지급상태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보조 장부는 매입세액 공제나 비용 인정을 판단하지 않습니다. 거래 자료의 금액을 기록하며 증빙 종류와 회계·세무 처리는 담당자와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매입장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