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현금출납장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소모품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기초잔액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거래후잔액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DEMO-CASH01</w:t>
            </w:r>
          </w:p>
        </w:tc>
      </w:tr>
    </w:tbl>
    <w:p>
      <w:r>
        <w:t>카드 결제와 계좌이체를 현금 지출로 중복 기록하지 마세요. 잔액 차이를 임의 수입으로 맞추지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현금출납장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