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렌트비 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이용관리번호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환불금액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증빙상태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정산표는 계약상 환급 권리나 손해배상 책임을 결정하지 않습니다. 이견이 있는 청구는 동의 완료로 표시하지 말고 실제 계약과 업체 회신을 별도로 확인하며 결제정보 노출을 줄이세요.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렌트비 정산표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