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농업지원사업 신청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대상공고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부담확인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기관 지정 신청서와 최신 공고가 우선입니다. 이 개인 목록은 신청 자격·선정·비용 인정을 판단하지 않으며 필수서류 목록도 아닙니다. 신청 기한과 실제 요구 자료는 사업 담당 기관에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농업지원사업 신청 준비표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